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51240" w14:textId="77777777" w:rsidR="00D57788" w:rsidRDefault="00D57788">
      <w:pPr>
        <w:tabs>
          <w:tab w:val="right" w:pos="8100"/>
        </w:tabs>
        <w:jc w:val="both"/>
        <w:rPr>
          <w:b/>
        </w:rPr>
      </w:pPr>
    </w:p>
    <w:p w14:paraId="0269FF70" w14:textId="77777777" w:rsidR="00D57788" w:rsidRDefault="00912A4D">
      <w:pPr>
        <w:tabs>
          <w:tab w:val="right" w:pos="8100"/>
        </w:tabs>
        <w:jc w:val="both"/>
        <w:rPr>
          <w:b/>
        </w:rPr>
      </w:pPr>
      <w:r>
        <w:rPr>
          <w:b/>
        </w:rPr>
        <w:tab/>
      </w:r>
    </w:p>
    <w:p w14:paraId="37792B87" w14:textId="29465C58" w:rsidR="00D57788" w:rsidRPr="00912A4D" w:rsidRDefault="00912A4D" w:rsidP="00912A4D">
      <w:pPr>
        <w:pStyle w:val="Heading1"/>
        <w:jc w:val="center"/>
        <w:rPr>
          <w:i w:val="0"/>
          <w:sz w:val="28"/>
          <w:szCs w:val="28"/>
        </w:rPr>
      </w:pPr>
      <w:proofErr w:type="spellStart"/>
      <w:r>
        <w:rPr>
          <w:i w:val="0"/>
          <w:sz w:val="28"/>
          <w:szCs w:val="28"/>
        </w:rPr>
        <w:t>Concertante</w:t>
      </w:r>
      <w:proofErr w:type="spellEnd"/>
      <w:r>
        <w:rPr>
          <w:i w:val="0"/>
          <w:sz w:val="28"/>
          <w:szCs w:val="28"/>
        </w:rPr>
        <w:t xml:space="preserve"> for Piano and </w:t>
      </w:r>
      <w:r w:rsidR="00C13DA1">
        <w:rPr>
          <w:i w:val="0"/>
          <w:sz w:val="28"/>
          <w:szCs w:val="28"/>
        </w:rPr>
        <w:t xml:space="preserve">Brass </w:t>
      </w:r>
      <w:bookmarkStart w:id="0" w:name="_GoBack"/>
      <w:bookmarkEnd w:id="0"/>
      <w:r>
        <w:rPr>
          <w:i w:val="0"/>
          <w:sz w:val="28"/>
          <w:szCs w:val="28"/>
        </w:rPr>
        <w:t>Band</w:t>
      </w:r>
    </w:p>
    <w:p w14:paraId="3E87AA98" w14:textId="77777777" w:rsidR="00D57788" w:rsidRDefault="00D57788">
      <w:pPr>
        <w:tabs>
          <w:tab w:val="right" w:pos="8100"/>
        </w:tabs>
        <w:jc w:val="both"/>
        <w:rPr>
          <w:b/>
        </w:rPr>
      </w:pPr>
    </w:p>
    <w:p w14:paraId="75A85DCF" w14:textId="77777777" w:rsidR="00D57788" w:rsidRDefault="00D57788">
      <w:pPr>
        <w:tabs>
          <w:tab w:val="right" w:pos="8100"/>
        </w:tabs>
        <w:jc w:val="both"/>
        <w:rPr>
          <w:b/>
        </w:rPr>
      </w:pPr>
    </w:p>
    <w:p w14:paraId="5723D12C" w14:textId="77777777" w:rsidR="0009657B" w:rsidRPr="0009657B" w:rsidRDefault="0009657B" w:rsidP="0009657B">
      <w:pPr>
        <w:spacing w:after="150"/>
        <w:jc w:val="both"/>
        <w:rPr>
          <w:rFonts w:eastAsiaTheme="minorEastAsia" w:cs="Arial"/>
          <w:color w:val="333333"/>
          <w:szCs w:val="22"/>
        </w:rPr>
      </w:pPr>
      <w:r w:rsidRPr="0009657B">
        <w:rPr>
          <w:rFonts w:eastAsiaTheme="minorEastAsia" w:cs="Arial"/>
          <w:color w:val="333333"/>
          <w:szCs w:val="22"/>
        </w:rPr>
        <w:t xml:space="preserve">This work was written in 1966, when I was a student at the Royal Academy of Music in London. It was the first major work to be written for this combination. The </w:t>
      </w:r>
      <w:proofErr w:type="spellStart"/>
      <w:r w:rsidRPr="0009657B">
        <w:rPr>
          <w:rFonts w:eastAsiaTheme="minorEastAsia" w:cs="Arial"/>
          <w:color w:val="333333"/>
          <w:szCs w:val="22"/>
        </w:rPr>
        <w:t>Concertante</w:t>
      </w:r>
      <w:proofErr w:type="spellEnd"/>
      <w:r w:rsidRPr="0009657B">
        <w:rPr>
          <w:rFonts w:eastAsiaTheme="minorEastAsia" w:cs="Arial"/>
          <w:color w:val="333333"/>
          <w:szCs w:val="22"/>
        </w:rPr>
        <w:t xml:space="preserve"> is unashamedly romantic in idiom and is cast in three movements: Prelude, Nocturne and Rondo.</w:t>
      </w:r>
    </w:p>
    <w:p w14:paraId="141C724F" w14:textId="77777777" w:rsidR="0009657B" w:rsidRPr="0009657B" w:rsidRDefault="0009657B" w:rsidP="0009657B">
      <w:pPr>
        <w:spacing w:after="150"/>
        <w:jc w:val="both"/>
        <w:rPr>
          <w:rFonts w:eastAsiaTheme="minorEastAsia" w:cs="Arial"/>
          <w:color w:val="333333"/>
          <w:szCs w:val="22"/>
        </w:rPr>
      </w:pPr>
      <w:r w:rsidRPr="0009657B">
        <w:rPr>
          <w:rFonts w:eastAsiaTheme="minorEastAsia" w:cs="Arial"/>
          <w:color w:val="333333"/>
          <w:szCs w:val="22"/>
        </w:rPr>
        <w:t>The</w:t>
      </w:r>
      <w:r w:rsidRPr="0009657B">
        <w:rPr>
          <w:rFonts w:eastAsiaTheme="minorEastAsia" w:cs="Arial"/>
          <w:i/>
          <w:iCs/>
          <w:color w:val="333333"/>
          <w:szCs w:val="22"/>
        </w:rPr>
        <w:t> Prelude</w:t>
      </w:r>
      <w:r w:rsidRPr="0009657B">
        <w:rPr>
          <w:rFonts w:eastAsiaTheme="minorEastAsia" w:cs="Arial"/>
          <w:color w:val="333333"/>
          <w:szCs w:val="22"/>
        </w:rPr>
        <w:t> is in sonata form with a contracted recapitulation. There are two main themes, the first announced after the opening flourish on piano. The second theme is lyrical in character and the interplay between these two themes forms the main focus of the movement.</w:t>
      </w:r>
    </w:p>
    <w:p w14:paraId="2259F4B4" w14:textId="77777777" w:rsidR="0009657B" w:rsidRPr="0009657B" w:rsidRDefault="0009657B" w:rsidP="0009657B">
      <w:pPr>
        <w:spacing w:after="150"/>
        <w:jc w:val="both"/>
        <w:rPr>
          <w:rFonts w:eastAsiaTheme="minorEastAsia" w:cs="Arial"/>
          <w:color w:val="333333"/>
          <w:szCs w:val="22"/>
        </w:rPr>
      </w:pPr>
      <w:r w:rsidRPr="0009657B">
        <w:rPr>
          <w:rFonts w:eastAsiaTheme="minorEastAsia" w:cs="Arial"/>
          <w:color w:val="333333"/>
          <w:szCs w:val="22"/>
        </w:rPr>
        <w:t>The pensive </w:t>
      </w:r>
      <w:r w:rsidRPr="0009657B">
        <w:rPr>
          <w:rFonts w:eastAsiaTheme="minorEastAsia" w:cs="Arial"/>
          <w:i/>
          <w:iCs/>
          <w:color w:val="333333"/>
          <w:szCs w:val="22"/>
        </w:rPr>
        <w:t>Nocturne</w:t>
      </w:r>
      <w:r w:rsidRPr="0009657B">
        <w:rPr>
          <w:rFonts w:eastAsiaTheme="minorEastAsia" w:cs="Arial"/>
          <w:color w:val="333333"/>
          <w:szCs w:val="22"/>
        </w:rPr>
        <w:t xml:space="preserve"> opens with an introduction from the </w:t>
      </w:r>
      <w:proofErr w:type="gramStart"/>
      <w:r w:rsidRPr="0009657B">
        <w:rPr>
          <w:rFonts w:eastAsiaTheme="minorEastAsia" w:cs="Arial"/>
          <w:color w:val="333333"/>
          <w:szCs w:val="22"/>
        </w:rPr>
        <w:t>band which</w:t>
      </w:r>
      <w:proofErr w:type="gramEnd"/>
      <w:r w:rsidRPr="0009657B">
        <w:rPr>
          <w:rFonts w:eastAsiaTheme="minorEastAsia" w:cs="Arial"/>
          <w:color w:val="333333"/>
          <w:szCs w:val="22"/>
        </w:rPr>
        <w:t xml:space="preserve"> contains hints of the two main ideas to follow. The solo piano announces the main theme, which has a slightly ‘blues’ character in its flattened third and seventh notes of the scale. The band enters with the chorale theme already heard in the introduction. Eventually the first theme returns, this time from piano and band and building to a powerful climax before subsiding to a peaceful ending.</w:t>
      </w:r>
    </w:p>
    <w:p w14:paraId="700D531D" w14:textId="77777777" w:rsidR="0009657B" w:rsidRDefault="0009657B" w:rsidP="0009657B">
      <w:pPr>
        <w:spacing w:after="150"/>
        <w:jc w:val="both"/>
        <w:rPr>
          <w:rFonts w:eastAsiaTheme="minorEastAsia" w:cs="Arial"/>
          <w:color w:val="333333"/>
          <w:szCs w:val="22"/>
        </w:rPr>
      </w:pPr>
      <w:r w:rsidRPr="0009657B">
        <w:rPr>
          <w:rFonts w:eastAsiaTheme="minorEastAsia" w:cs="Arial"/>
          <w:color w:val="333333"/>
          <w:szCs w:val="22"/>
        </w:rPr>
        <w:t>The </w:t>
      </w:r>
      <w:r w:rsidRPr="0009657B">
        <w:rPr>
          <w:rFonts w:eastAsiaTheme="minorEastAsia" w:cs="Arial"/>
          <w:i/>
          <w:iCs/>
          <w:color w:val="333333"/>
          <w:szCs w:val="22"/>
        </w:rPr>
        <w:t>Rondo</w:t>
      </w:r>
      <w:r w:rsidRPr="0009657B">
        <w:rPr>
          <w:rFonts w:eastAsiaTheme="minorEastAsia" w:cs="Arial"/>
          <w:color w:val="333333"/>
          <w:szCs w:val="22"/>
        </w:rPr>
        <w:t> is full of energetic rhythms and changing time patterns. The main theme is ‘giocoso’ in character and in the first episode there is more than a hint of the tune ‘Onward Christian Soldiers’ in what amounts to a good humoured parody. Before the final coda there is a long piano cadenza underlying the virtuoso element of the work.</w:t>
      </w:r>
    </w:p>
    <w:p w14:paraId="7EE2BB37" w14:textId="77777777" w:rsidR="00C13DA1" w:rsidRPr="00C13DA1" w:rsidRDefault="00C13DA1" w:rsidP="00C13DA1">
      <w:pPr>
        <w:spacing w:before="100" w:beforeAutospacing="1" w:after="100" w:afterAutospacing="1"/>
        <w:rPr>
          <w:szCs w:val="22"/>
        </w:rPr>
      </w:pPr>
      <w:r w:rsidRPr="00C13DA1">
        <w:rPr>
          <w:szCs w:val="22"/>
        </w:rPr>
        <w:t xml:space="preserve">The work had a number of public performances leading up to a memorable one in the Royal Albert Hall in 1989 as part of the Gala Concert that used to be held after the National Brass Band Championship in the Royal Albert Hall. That year, the ‘centre band’ in the massed bands concert were the GUS Band (then known for sponsorship reasons as ‘Rigid Containers Group Band’!) conducted by my great friend and champion, </w:t>
      </w:r>
      <w:proofErr w:type="spellStart"/>
      <w:r w:rsidRPr="00C13DA1">
        <w:rPr>
          <w:szCs w:val="22"/>
        </w:rPr>
        <w:t>Bramwell</w:t>
      </w:r>
      <w:proofErr w:type="spellEnd"/>
      <w:r w:rsidRPr="00C13DA1">
        <w:rPr>
          <w:szCs w:val="22"/>
        </w:rPr>
        <w:t xml:space="preserve"> </w:t>
      </w:r>
      <w:proofErr w:type="spellStart"/>
      <w:r w:rsidRPr="00C13DA1">
        <w:rPr>
          <w:szCs w:val="22"/>
        </w:rPr>
        <w:t>Tovey</w:t>
      </w:r>
      <w:proofErr w:type="spellEnd"/>
      <w:r w:rsidRPr="00C13DA1">
        <w:rPr>
          <w:szCs w:val="22"/>
        </w:rPr>
        <w:t>, with myself as the soloist – commercial recordings of this are still available in specialist dealers.</w:t>
      </w:r>
    </w:p>
    <w:p w14:paraId="5B352E4E" w14:textId="4C27ADE1" w:rsidR="00C13DA1" w:rsidRPr="00C13DA1" w:rsidRDefault="00C13DA1" w:rsidP="00C13DA1">
      <w:pPr>
        <w:spacing w:before="100" w:beforeAutospacing="1" w:after="100" w:afterAutospacing="1"/>
        <w:rPr>
          <w:szCs w:val="22"/>
        </w:rPr>
      </w:pPr>
      <w:r w:rsidRPr="00C13DA1">
        <w:rPr>
          <w:szCs w:val="22"/>
        </w:rPr>
        <w:t>Previously unpublished, </w:t>
      </w:r>
      <w:proofErr w:type="spellStart"/>
      <w:r w:rsidRPr="00C13DA1">
        <w:rPr>
          <w:b/>
          <w:bCs/>
          <w:i/>
          <w:iCs/>
          <w:szCs w:val="22"/>
        </w:rPr>
        <w:t>Concertante</w:t>
      </w:r>
      <w:proofErr w:type="spellEnd"/>
      <w:r w:rsidRPr="00C13DA1">
        <w:rPr>
          <w:b/>
          <w:bCs/>
          <w:i/>
          <w:iCs/>
          <w:szCs w:val="22"/>
        </w:rPr>
        <w:t xml:space="preserve"> for Piano and Brass Band</w:t>
      </w:r>
      <w:r w:rsidRPr="00C13DA1">
        <w:rPr>
          <w:szCs w:val="22"/>
        </w:rPr>
        <w:t xml:space="preserve"> was officially published on 1 October 2017 to mark the 50th anniversary of its first performance, and is now available through </w:t>
      </w:r>
      <w:r w:rsidRPr="00C13DA1">
        <w:rPr>
          <w:szCs w:val="22"/>
        </w:rPr>
        <w:fldChar w:fldCharType="begin"/>
      </w:r>
      <w:r w:rsidRPr="00C13DA1">
        <w:rPr>
          <w:szCs w:val="22"/>
        </w:rPr>
        <w:instrText xml:space="preserve"> HYPERLINK "https://www.morthanveld.com/edward-gregson-concertante-piano-brass-band/" \t "_blank" </w:instrText>
      </w:r>
      <w:r w:rsidRPr="00C13DA1">
        <w:rPr>
          <w:szCs w:val="22"/>
        </w:rPr>
      </w:r>
      <w:r w:rsidRPr="00C13DA1">
        <w:rPr>
          <w:szCs w:val="22"/>
        </w:rPr>
        <w:fldChar w:fldCharType="separate"/>
      </w:r>
      <w:proofErr w:type="spellStart"/>
      <w:r w:rsidRPr="00C13DA1">
        <w:rPr>
          <w:color w:val="0000FF"/>
          <w:szCs w:val="22"/>
          <w:u w:val="single"/>
        </w:rPr>
        <w:t>Morthanveld</w:t>
      </w:r>
      <w:proofErr w:type="spellEnd"/>
      <w:r w:rsidRPr="00C13DA1">
        <w:rPr>
          <w:color w:val="0000FF"/>
          <w:szCs w:val="22"/>
          <w:u w:val="single"/>
        </w:rPr>
        <w:t xml:space="preserve"> Publishing Ltd</w:t>
      </w:r>
      <w:r w:rsidRPr="00C13DA1">
        <w:rPr>
          <w:szCs w:val="22"/>
        </w:rPr>
        <w:fldChar w:fldCharType="end"/>
      </w:r>
      <w:r w:rsidRPr="00C13DA1">
        <w:rPr>
          <w:szCs w:val="22"/>
        </w:rPr>
        <w:t>.</w:t>
      </w:r>
    </w:p>
    <w:p w14:paraId="0467906C" w14:textId="77777777" w:rsidR="00C13DA1" w:rsidRPr="0009657B" w:rsidRDefault="00C13DA1" w:rsidP="0009657B">
      <w:pPr>
        <w:spacing w:after="150"/>
        <w:jc w:val="both"/>
        <w:rPr>
          <w:rFonts w:eastAsiaTheme="minorEastAsia" w:cs="Arial"/>
          <w:color w:val="333333"/>
          <w:szCs w:val="22"/>
        </w:rPr>
      </w:pPr>
    </w:p>
    <w:p w14:paraId="4A3A6271" w14:textId="77777777" w:rsidR="0009657B" w:rsidRDefault="0009657B" w:rsidP="0009657B">
      <w:pPr>
        <w:pStyle w:val="Footer"/>
      </w:pPr>
      <w:r>
        <w:rPr>
          <w:rFonts w:cs="Arial"/>
        </w:rPr>
        <w:t>©</w:t>
      </w:r>
      <w:r>
        <w:t xml:space="preserve"> Edward Gregson</w:t>
      </w:r>
    </w:p>
    <w:p w14:paraId="3CDF59E6" w14:textId="77777777" w:rsidR="00D57788" w:rsidRDefault="00D57788">
      <w:pPr>
        <w:pStyle w:val="BodyText"/>
        <w:tabs>
          <w:tab w:val="clear" w:pos="8100"/>
        </w:tabs>
        <w:spacing w:line="360" w:lineRule="auto"/>
      </w:pPr>
    </w:p>
    <w:sectPr w:rsidR="00D5778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2954F" w14:textId="77777777" w:rsidR="00D57788" w:rsidRDefault="00912A4D">
      <w:r>
        <w:separator/>
      </w:r>
    </w:p>
  </w:endnote>
  <w:endnote w:type="continuationSeparator" w:id="0">
    <w:p w14:paraId="0E6E976A" w14:textId="77777777" w:rsidR="00D57788" w:rsidRDefault="0091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E1806" w14:textId="77777777" w:rsidR="0009657B" w:rsidRDefault="000965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DBEB3" w14:textId="77777777" w:rsidR="00D57788" w:rsidRDefault="00D57788">
    <w:pPr>
      <w:pStyle w:val="Footer"/>
    </w:pPr>
  </w:p>
  <w:p w14:paraId="43F9A3BB" w14:textId="77777777" w:rsidR="00D57788" w:rsidRDefault="00D5778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CB766" w14:textId="77777777" w:rsidR="0009657B" w:rsidRDefault="000965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8A604" w14:textId="77777777" w:rsidR="00D57788" w:rsidRDefault="00912A4D">
      <w:r>
        <w:separator/>
      </w:r>
    </w:p>
  </w:footnote>
  <w:footnote w:type="continuationSeparator" w:id="0">
    <w:p w14:paraId="31F2B1B9" w14:textId="77777777" w:rsidR="00D57788" w:rsidRDefault="00912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66EB7" w14:textId="77777777" w:rsidR="0009657B" w:rsidRDefault="000965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5D3CF" w14:textId="77777777" w:rsidR="0009657B" w:rsidRDefault="000965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25543" w14:textId="77777777" w:rsidR="0009657B" w:rsidRDefault="000965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4D"/>
    <w:rsid w:val="0009657B"/>
    <w:rsid w:val="00912A4D"/>
    <w:rsid w:val="00C13DA1"/>
    <w:rsid w:val="00D577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5D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rPr>
  </w:style>
  <w:style w:type="paragraph" w:styleId="Heading2">
    <w:name w:val="heading 2"/>
    <w:basedOn w:val="Normal"/>
    <w:next w:val="Normal"/>
    <w:qFormat/>
    <w:pPr>
      <w:keepNext/>
      <w:jc w:val="center"/>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character" w:styleId="Emphasis">
    <w:name w:val="Emphasis"/>
    <w:basedOn w:val="DefaultParagraphFont"/>
    <w:uiPriority w:val="20"/>
    <w:qFormat/>
    <w:rsid w:val="0009657B"/>
    <w:rPr>
      <w:i/>
      <w:iCs/>
    </w:rPr>
  </w:style>
  <w:style w:type="character" w:customStyle="1" w:styleId="apple-converted-space">
    <w:name w:val="apple-converted-space"/>
    <w:basedOn w:val="DefaultParagraphFont"/>
    <w:rsid w:val="0009657B"/>
  </w:style>
  <w:style w:type="character" w:styleId="Strong">
    <w:name w:val="Strong"/>
    <w:basedOn w:val="DefaultParagraphFont"/>
    <w:uiPriority w:val="22"/>
    <w:qFormat/>
    <w:rsid w:val="00C13DA1"/>
    <w:rPr>
      <w:b/>
      <w:bCs/>
    </w:rPr>
  </w:style>
  <w:style w:type="character" w:styleId="Hyperlink">
    <w:name w:val="Hyperlink"/>
    <w:basedOn w:val="DefaultParagraphFont"/>
    <w:uiPriority w:val="99"/>
    <w:semiHidden/>
    <w:unhideWhenUsed/>
    <w:rsid w:val="00C13DA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rPr>
  </w:style>
  <w:style w:type="paragraph" w:styleId="Heading2">
    <w:name w:val="heading 2"/>
    <w:basedOn w:val="Normal"/>
    <w:next w:val="Normal"/>
    <w:qFormat/>
    <w:pPr>
      <w:keepNext/>
      <w:jc w:val="center"/>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character" w:styleId="Emphasis">
    <w:name w:val="Emphasis"/>
    <w:basedOn w:val="DefaultParagraphFont"/>
    <w:uiPriority w:val="20"/>
    <w:qFormat/>
    <w:rsid w:val="0009657B"/>
    <w:rPr>
      <w:i/>
      <w:iCs/>
    </w:rPr>
  </w:style>
  <w:style w:type="character" w:customStyle="1" w:styleId="apple-converted-space">
    <w:name w:val="apple-converted-space"/>
    <w:basedOn w:val="DefaultParagraphFont"/>
    <w:rsid w:val="0009657B"/>
  </w:style>
  <w:style w:type="character" w:styleId="Strong">
    <w:name w:val="Strong"/>
    <w:basedOn w:val="DefaultParagraphFont"/>
    <w:uiPriority w:val="22"/>
    <w:qFormat/>
    <w:rsid w:val="00C13DA1"/>
    <w:rPr>
      <w:b/>
      <w:bCs/>
    </w:rPr>
  </w:style>
  <w:style w:type="character" w:styleId="Hyperlink">
    <w:name w:val="Hyperlink"/>
    <w:basedOn w:val="DefaultParagraphFont"/>
    <w:uiPriority w:val="99"/>
    <w:semiHidden/>
    <w:unhideWhenUsed/>
    <w:rsid w:val="00C13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05791">
      <w:bodyDiv w:val="1"/>
      <w:marLeft w:val="0"/>
      <w:marRight w:val="0"/>
      <w:marTop w:val="0"/>
      <w:marBottom w:val="0"/>
      <w:divBdr>
        <w:top w:val="none" w:sz="0" w:space="0" w:color="auto"/>
        <w:left w:val="none" w:sz="0" w:space="0" w:color="auto"/>
        <w:bottom w:val="none" w:sz="0" w:space="0" w:color="auto"/>
        <w:right w:val="none" w:sz="0" w:space="0" w:color="auto"/>
      </w:divBdr>
      <w:divsChild>
        <w:div w:id="976029488">
          <w:marLeft w:val="0"/>
          <w:marRight w:val="0"/>
          <w:marTop w:val="0"/>
          <w:marBottom w:val="0"/>
          <w:divBdr>
            <w:top w:val="none" w:sz="0" w:space="0" w:color="auto"/>
            <w:left w:val="none" w:sz="0" w:space="0" w:color="auto"/>
            <w:bottom w:val="none" w:sz="0" w:space="0" w:color="auto"/>
            <w:right w:val="none" w:sz="0" w:space="0" w:color="auto"/>
          </w:divBdr>
          <w:divsChild>
            <w:div w:id="1489175790">
              <w:marLeft w:val="0"/>
              <w:marRight w:val="0"/>
              <w:marTop w:val="0"/>
              <w:marBottom w:val="0"/>
              <w:divBdr>
                <w:top w:val="none" w:sz="0" w:space="0" w:color="auto"/>
                <w:left w:val="none" w:sz="0" w:space="0" w:color="auto"/>
                <w:bottom w:val="none" w:sz="0" w:space="0" w:color="auto"/>
                <w:right w:val="none" w:sz="0" w:space="0" w:color="auto"/>
              </w:divBdr>
              <w:divsChild>
                <w:div w:id="14693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3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2248</CharactersWithSpaces>
  <SharedDoc>false</SharedDoc>
  <HLinks>
    <vt:vector size="6" baseType="variant">
      <vt:variant>
        <vt:i4>7798789</vt:i4>
      </vt:variant>
      <vt:variant>
        <vt:i4>2434</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Knight</cp:lastModifiedBy>
  <cp:revision>4</cp:revision>
  <cp:lastPrinted>2004-11-10T11:47:00Z</cp:lastPrinted>
  <dcterms:created xsi:type="dcterms:W3CDTF">2015-02-08T07:25:00Z</dcterms:created>
  <dcterms:modified xsi:type="dcterms:W3CDTF">2018-03-16T14:38:00Z</dcterms:modified>
</cp:coreProperties>
</file>