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F63C1" w14:textId="77777777" w:rsidR="00BA69BD" w:rsidRDefault="00BA69BD">
      <w:pPr>
        <w:tabs>
          <w:tab w:val="right" w:pos="8100"/>
        </w:tabs>
        <w:jc w:val="both"/>
        <w:rPr>
          <w:b/>
        </w:rPr>
      </w:pPr>
    </w:p>
    <w:p w14:paraId="07D2D469" w14:textId="77777777" w:rsidR="00BA69BD" w:rsidRPr="008F7183" w:rsidRDefault="008F7183" w:rsidP="008F7183">
      <w:pPr>
        <w:tabs>
          <w:tab w:val="right" w:pos="8100"/>
        </w:tabs>
        <w:jc w:val="center"/>
        <w:rPr>
          <w:b/>
          <w:sz w:val="28"/>
          <w:szCs w:val="28"/>
        </w:rPr>
      </w:pPr>
      <w:r>
        <w:rPr>
          <w:b/>
          <w:sz w:val="28"/>
          <w:szCs w:val="28"/>
        </w:rPr>
        <w:t>The Kings Go Forth</w:t>
      </w:r>
    </w:p>
    <w:p w14:paraId="3E2B65D5" w14:textId="77777777" w:rsidR="00BA69BD" w:rsidRDefault="00BA69BD">
      <w:pPr>
        <w:pStyle w:val="NormalWeb"/>
        <w:spacing w:before="0" w:beforeAutospacing="0" w:after="0" w:afterAutospacing="0"/>
        <w:rPr>
          <w:rFonts w:ascii="Arial" w:hAnsi="Arial" w:cs="Arial"/>
          <w:sz w:val="22"/>
        </w:rPr>
      </w:pPr>
    </w:p>
    <w:p w14:paraId="21EE843B" w14:textId="77777777" w:rsidR="00A873C1" w:rsidRPr="00A873C1" w:rsidRDefault="00A873C1" w:rsidP="00A873C1">
      <w:pPr>
        <w:pStyle w:val="NormalWeb"/>
        <w:rPr>
          <w:rFonts w:ascii="Arial" w:hAnsi="Arial" w:cs="Arial"/>
          <w:sz w:val="22"/>
        </w:rPr>
      </w:pPr>
      <w:r w:rsidRPr="00A873C1">
        <w:rPr>
          <w:rFonts w:ascii="Arial" w:hAnsi="Arial" w:cs="Arial"/>
          <w:sz w:val="22"/>
        </w:rPr>
        <w:t>This work was commissioned jointly by the Royal Air Force Music Service and an American Universities Consortium and received its world premiere during the 1996 RAF British Tour. It is scored for large symphonic wind band, with the addition of voices.</w:t>
      </w:r>
    </w:p>
    <w:p w14:paraId="56539BD5" w14:textId="77777777" w:rsidR="00A873C1" w:rsidRPr="00A873C1" w:rsidRDefault="00A873C1" w:rsidP="00A873C1">
      <w:pPr>
        <w:pStyle w:val="NormalWeb"/>
        <w:rPr>
          <w:rFonts w:ascii="Arial" w:hAnsi="Arial" w:cs="Arial"/>
          <w:sz w:val="22"/>
        </w:rPr>
      </w:pPr>
      <w:r w:rsidRPr="00A873C1">
        <w:rPr>
          <w:rFonts w:ascii="Arial" w:hAnsi="Arial" w:cs="Arial"/>
          <w:sz w:val="22"/>
        </w:rPr>
        <w:t xml:space="preserve">The work is a sequel to the highly successful </w:t>
      </w:r>
      <w:r w:rsidRPr="00A873C1">
        <w:rPr>
          <w:rFonts w:ascii="Arial" w:hAnsi="Arial" w:cs="Arial"/>
          <w:i/>
          <w:sz w:val="22"/>
        </w:rPr>
        <w:t xml:space="preserve">The Sword and the </w:t>
      </w:r>
      <w:proofErr w:type="gramStart"/>
      <w:r w:rsidRPr="00A873C1">
        <w:rPr>
          <w:rFonts w:ascii="Arial" w:hAnsi="Arial" w:cs="Arial"/>
          <w:i/>
          <w:sz w:val="22"/>
        </w:rPr>
        <w:t>Crown</w:t>
      </w:r>
      <w:r w:rsidRPr="00A873C1">
        <w:rPr>
          <w:rFonts w:ascii="Arial" w:hAnsi="Arial" w:cs="Arial"/>
          <w:sz w:val="22"/>
        </w:rPr>
        <w:t xml:space="preserve"> which</w:t>
      </w:r>
      <w:proofErr w:type="gramEnd"/>
      <w:r w:rsidRPr="00A873C1">
        <w:rPr>
          <w:rFonts w:ascii="Arial" w:hAnsi="Arial" w:cs="Arial"/>
          <w:sz w:val="22"/>
        </w:rPr>
        <w:t xml:space="preserve"> was premiered in 1991 by the mass bands of the RAF (and also was an RAF commission). That work was based on music written for the Royal Shakespeare Company productions of </w:t>
      </w:r>
      <w:r w:rsidRPr="00A873C1">
        <w:rPr>
          <w:rFonts w:ascii="Arial" w:hAnsi="Arial" w:cs="Arial"/>
          <w:i/>
          <w:sz w:val="22"/>
        </w:rPr>
        <w:t xml:space="preserve">The </w:t>
      </w:r>
      <w:proofErr w:type="spellStart"/>
      <w:r w:rsidRPr="00A873C1">
        <w:rPr>
          <w:rFonts w:ascii="Arial" w:hAnsi="Arial" w:cs="Arial"/>
          <w:i/>
          <w:sz w:val="22"/>
        </w:rPr>
        <w:t>Plantagenets</w:t>
      </w:r>
      <w:proofErr w:type="spellEnd"/>
      <w:r w:rsidRPr="00A873C1">
        <w:rPr>
          <w:rFonts w:ascii="Arial" w:hAnsi="Arial" w:cs="Arial"/>
          <w:sz w:val="22"/>
        </w:rPr>
        <w:t xml:space="preserve"> and </w:t>
      </w:r>
      <w:r w:rsidRPr="00A873C1">
        <w:rPr>
          <w:rFonts w:ascii="Arial" w:hAnsi="Arial" w:cs="Arial"/>
          <w:i/>
          <w:sz w:val="22"/>
        </w:rPr>
        <w:t>Henry IV, parts 1 and 2</w:t>
      </w:r>
      <w:r w:rsidRPr="00A873C1">
        <w:rPr>
          <w:rFonts w:ascii="Arial" w:hAnsi="Arial" w:cs="Arial"/>
          <w:sz w:val="22"/>
        </w:rPr>
        <w:t xml:space="preserve"> (for productions between 1988 and 1991).</w:t>
      </w:r>
    </w:p>
    <w:p w14:paraId="608E1065" w14:textId="77777777" w:rsidR="00A873C1" w:rsidRPr="00A873C1" w:rsidRDefault="00A873C1" w:rsidP="00A873C1">
      <w:pPr>
        <w:pStyle w:val="NormalWeb"/>
        <w:rPr>
          <w:rFonts w:ascii="Arial" w:hAnsi="Arial" w:cs="Arial"/>
          <w:sz w:val="22"/>
        </w:rPr>
      </w:pPr>
      <w:r>
        <w:rPr>
          <w:rFonts w:ascii="Arial" w:hAnsi="Arial" w:cs="Arial"/>
          <w:i/>
          <w:sz w:val="22"/>
        </w:rPr>
        <w:t>The Kings go F</w:t>
      </w:r>
      <w:r w:rsidRPr="00A873C1">
        <w:rPr>
          <w:rFonts w:ascii="Arial" w:hAnsi="Arial" w:cs="Arial"/>
          <w:i/>
          <w:sz w:val="22"/>
        </w:rPr>
        <w:t>orth</w:t>
      </w:r>
      <w:r w:rsidRPr="00A873C1">
        <w:rPr>
          <w:rFonts w:ascii="Arial" w:hAnsi="Arial" w:cs="Arial"/>
          <w:sz w:val="22"/>
        </w:rPr>
        <w:t xml:space="preserve"> is similarly based on musical material for those productions. It uses different thematic elements and incorporates them into a three-movement suite entitled: The Church; The People</w:t>
      </w:r>
      <w:proofErr w:type="gramStart"/>
      <w:r w:rsidRPr="00A873C1">
        <w:rPr>
          <w:rFonts w:ascii="Arial" w:hAnsi="Arial" w:cs="Arial"/>
          <w:sz w:val="22"/>
        </w:rPr>
        <w:t>;</w:t>
      </w:r>
      <w:proofErr w:type="gramEnd"/>
      <w:r w:rsidRPr="00A873C1">
        <w:rPr>
          <w:rFonts w:ascii="Arial" w:hAnsi="Arial" w:cs="Arial"/>
          <w:sz w:val="22"/>
        </w:rPr>
        <w:t xml:space="preserve"> The State.</w:t>
      </w:r>
    </w:p>
    <w:p w14:paraId="4517E09C" w14:textId="77777777" w:rsidR="00A873C1" w:rsidRPr="00A873C1" w:rsidRDefault="00A873C1" w:rsidP="00A873C1">
      <w:pPr>
        <w:pStyle w:val="NormalWeb"/>
        <w:rPr>
          <w:rFonts w:ascii="Arial" w:hAnsi="Arial" w:cs="Arial"/>
          <w:sz w:val="22"/>
        </w:rPr>
      </w:pPr>
      <w:r w:rsidRPr="00A873C1">
        <w:rPr>
          <w:rFonts w:ascii="Arial" w:hAnsi="Arial" w:cs="Arial"/>
          <w:sz w:val="22"/>
        </w:rPr>
        <w:t xml:space="preserve">This reflects the fact that in </w:t>
      </w:r>
      <w:r w:rsidRPr="00A873C1">
        <w:rPr>
          <w:rFonts w:ascii="Arial" w:hAnsi="Arial" w:cs="Arial"/>
          <w:i/>
          <w:sz w:val="22"/>
        </w:rPr>
        <w:t>Henry IV Parts 1 and 2</w:t>
      </w:r>
      <w:r w:rsidRPr="00A873C1">
        <w:rPr>
          <w:rFonts w:ascii="Arial" w:hAnsi="Arial" w:cs="Arial"/>
          <w:sz w:val="22"/>
        </w:rPr>
        <w:t xml:space="preserve">, Shakespeare introduces “the People” as an important element in the dramatic structure.  The Church and the State are, of course, both leitmotivs throughout the entire plays. An </w:t>
      </w:r>
      <w:proofErr w:type="spellStart"/>
      <w:r w:rsidRPr="00A873C1">
        <w:rPr>
          <w:rFonts w:ascii="Arial" w:hAnsi="Arial" w:cs="Arial"/>
          <w:i/>
          <w:sz w:val="22"/>
        </w:rPr>
        <w:t>Agnus</w:t>
      </w:r>
      <w:proofErr w:type="spellEnd"/>
      <w:r w:rsidRPr="00A873C1">
        <w:rPr>
          <w:rFonts w:ascii="Arial" w:hAnsi="Arial" w:cs="Arial"/>
          <w:i/>
          <w:sz w:val="22"/>
        </w:rPr>
        <w:t xml:space="preserve"> Dei</w:t>
      </w:r>
      <w:r w:rsidRPr="00A873C1">
        <w:rPr>
          <w:rFonts w:ascii="Arial" w:hAnsi="Arial" w:cs="Arial"/>
          <w:sz w:val="22"/>
        </w:rPr>
        <w:t xml:space="preserve"> is heard at the outset from a solo voice. The ensuing </w:t>
      </w:r>
      <w:r w:rsidRPr="00A873C1">
        <w:rPr>
          <w:rFonts w:ascii="Arial" w:hAnsi="Arial" w:cs="Arial"/>
          <w:i/>
          <w:sz w:val="22"/>
        </w:rPr>
        <w:t xml:space="preserve">Dies </w:t>
      </w:r>
      <w:proofErr w:type="spellStart"/>
      <w:r w:rsidRPr="00A873C1">
        <w:rPr>
          <w:rFonts w:ascii="Arial" w:hAnsi="Arial" w:cs="Arial"/>
          <w:i/>
          <w:sz w:val="22"/>
        </w:rPr>
        <w:t>Irae</w:t>
      </w:r>
      <w:proofErr w:type="spellEnd"/>
      <w:r w:rsidRPr="00A873C1">
        <w:rPr>
          <w:rFonts w:ascii="Arial" w:hAnsi="Arial" w:cs="Arial"/>
          <w:sz w:val="22"/>
        </w:rPr>
        <w:t xml:space="preserve"> is a fast and, at times, quite violent dance. The two </w:t>
      </w:r>
      <w:proofErr w:type="gramStart"/>
      <w:r w:rsidRPr="00A873C1">
        <w:rPr>
          <w:rFonts w:ascii="Arial" w:hAnsi="Arial" w:cs="Arial"/>
          <w:sz w:val="22"/>
        </w:rPr>
        <w:t>sections which</w:t>
      </w:r>
      <w:proofErr w:type="gramEnd"/>
      <w:r w:rsidRPr="00A873C1">
        <w:rPr>
          <w:rFonts w:ascii="Arial" w:hAnsi="Arial" w:cs="Arial"/>
          <w:sz w:val="22"/>
        </w:rPr>
        <w:t xml:space="preserve"> form the basis of the second movement, </w:t>
      </w:r>
      <w:r w:rsidRPr="00A873C1">
        <w:rPr>
          <w:rFonts w:ascii="Arial" w:hAnsi="Arial" w:cs="Arial"/>
          <w:i/>
          <w:sz w:val="22"/>
        </w:rPr>
        <w:t>The People</w:t>
      </w:r>
      <w:r w:rsidRPr="00A873C1">
        <w:rPr>
          <w:rFonts w:ascii="Arial" w:hAnsi="Arial" w:cs="Arial"/>
          <w:sz w:val="22"/>
        </w:rPr>
        <w:t>, concentrate on popular elements and reflect to some extent the tavern scenes in the plays.</w:t>
      </w:r>
    </w:p>
    <w:p w14:paraId="4010AC6B" w14:textId="77777777" w:rsidR="00BA69BD" w:rsidRDefault="00A873C1" w:rsidP="00A873C1">
      <w:pPr>
        <w:pStyle w:val="NormalWeb"/>
        <w:spacing w:before="0" w:beforeAutospacing="0" w:after="0" w:afterAutospacing="0"/>
        <w:rPr>
          <w:rFonts w:ascii="Arial" w:hAnsi="Arial" w:cs="Arial"/>
          <w:sz w:val="22"/>
        </w:rPr>
      </w:pPr>
      <w:r w:rsidRPr="00A873C1">
        <w:rPr>
          <w:rFonts w:ascii="Arial" w:hAnsi="Arial" w:cs="Arial"/>
          <w:sz w:val="22"/>
        </w:rPr>
        <w:t xml:space="preserve">The two ideas presented are a harvest hymn reflecting the country scenes set in Gloucestershire, and a jazzy, ‘up-tempo’ dance based on the medieval song </w:t>
      </w:r>
      <w:r w:rsidRPr="00A873C1">
        <w:rPr>
          <w:rFonts w:ascii="Arial" w:hAnsi="Arial" w:cs="Arial"/>
          <w:i/>
          <w:sz w:val="22"/>
        </w:rPr>
        <w:t xml:space="preserve">Sumer is </w:t>
      </w:r>
      <w:proofErr w:type="spellStart"/>
      <w:r w:rsidRPr="00A873C1">
        <w:rPr>
          <w:rFonts w:ascii="Arial" w:hAnsi="Arial" w:cs="Arial"/>
          <w:i/>
          <w:sz w:val="22"/>
        </w:rPr>
        <w:t>icumen</w:t>
      </w:r>
      <w:proofErr w:type="spellEnd"/>
      <w:r w:rsidRPr="00A873C1">
        <w:rPr>
          <w:rFonts w:ascii="Arial" w:hAnsi="Arial" w:cs="Arial"/>
          <w:i/>
          <w:sz w:val="22"/>
        </w:rPr>
        <w:t xml:space="preserve"> in</w:t>
      </w:r>
      <w:r w:rsidRPr="00A873C1">
        <w:rPr>
          <w:rFonts w:ascii="Arial" w:hAnsi="Arial" w:cs="Arial"/>
          <w:sz w:val="22"/>
        </w:rPr>
        <w:t>. The third movement, (</w:t>
      </w:r>
      <w:r w:rsidRPr="00A873C1">
        <w:rPr>
          <w:rFonts w:ascii="Arial" w:hAnsi="Arial" w:cs="Arial"/>
          <w:i/>
          <w:sz w:val="22"/>
        </w:rPr>
        <w:t>The State</w:t>
      </w:r>
      <w:r w:rsidRPr="00A873C1">
        <w:rPr>
          <w:rFonts w:ascii="Arial" w:hAnsi="Arial" w:cs="Arial"/>
          <w:sz w:val="22"/>
        </w:rPr>
        <w:t xml:space="preserve">), deals with the “Kings” theme in the title of the piece. The juxtaposition of battle music with funeral music for Henry IV and Henry VI leads to a reworking of the leitmotif from the beginning of the </w:t>
      </w:r>
      <w:proofErr w:type="gramStart"/>
      <w:r w:rsidRPr="00A873C1">
        <w:rPr>
          <w:rFonts w:ascii="Arial" w:hAnsi="Arial" w:cs="Arial"/>
          <w:sz w:val="22"/>
        </w:rPr>
        <w:t>work which</w:t>
      </w:r>
      <w:proofErr w:type="gramEnd"/>
      <w:r w:rsidRPr="00A873C1">
        <w:rPr>
          <w:rFonts w:ascii="Arial" w:hAnsi="Arial" w:cs="Arial"/>
          <w:sz w:val="22"/>
        </w:rPr>
        <w:t xml:space="preserve"> is transformed into a triumphant climax.</w:t>
      </w:r>
    </w:p>
    <w:p w14:paraId="5AB3665A" w14:textId="77777777" w:rsidR="00A873C1" w:rsidRDefault="00A873C1" w:rsidP="00A873C1">
      <w:pPr>
        <w:pStyle w:val="NormalWeb"/>
        <w:spacing w:before="0" w:beforeAutospacing="0" w:after="0" w:afterAutospacing="0"/>
        <w:rPr>
          <w:rFonts w:ascii="Arial" w:hAnsi="Arial" w:cs="Arial"/>
          <w:sz w:val="22"/>
        </w:rPr>
      </w:pPr>
    </w:p>
    <w:p w14:paraId="2F6A7099" w14:textId="77777777" w:rsidR="00A873C1" w:rsidRDefault="00A873C1" w:rsidP="00A873C1">
      <w:pPr>
        <w:pStyle w:val="Footer"/>
      </w:pPr>
      <w:r>
        <w:t>© Edward Gregson</w:t>
      </w:r>
    </w:p>
    <w:p w14:paraId="216E789F" w14:textId="77777777" w:rsidR="00A873C1" w:rsidRDefault="00A873C1" w:rsidP="00A873C1">
      <w:pPr>
        <w:pStyle w:val="NormalWeb"/>
        <w:spacing w:before="0" w:beforeAutospacing="0" w:after="0" w:afterAutospacing="0"/>
      </w:pPr>
      <w:bookmarkStart w:id="0" w:name="_GoBack"/>
      <w:bookmarkEnd w:id="0"/>
    </w:p>
    <w:sectPr w:rsidR="00A873C1">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00292" w14:textId="77777777" w:rsidR="00BA69BD" w:rsidRDefault="008F7183">
      <w:r>
        <w:separator/>
      </w:r>
    </w:p>
  </w:endnote>
  <w:endnote w:type="continuationSeparator" w:id="0">
    <w:p w14:paraId="501B85ED" w14:textId="77777777" w:rsidR="00BA69BD" w:rsidRDefault="008F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639D7" w14:textId="77777777" w:rsidR="00BA69BD" w:rsidRDefault="008F7183">
      <w:r>
        <w:separator/>
      </w:r>
    </w:p>
  </w:footnote>
  <w:footnote w:type="continuationSeparator" w:id="0">
    <w:p w14:paraId="7D6AF3F3" w14:textId="77777777" w:rsidR="00BA69BD" w:rsidRDefault="008F71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83"/>
    <w:rsid w:val="008F7183"/>
    <w:rsid w:val="00A873C1"/>
    <w:rsid w:val="00BA69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2A7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1808</CharactersWithSpaces>
  <SharedDoc>false</SharedDoc>
  <HLinks>
    <vt:vector size="6" baseType="variant">
      <vt:variant>
        <vt:i4>7798789</vt:i4>
      </vt:variant>
      <vt:variant>
        <vt:i4>2837</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2015-02-08T08:55:00Z</dcterms:created>
  <dcterms:modified xsi:type="dcterms:W3CDTF">2015-03-08T08:58:00Z</dcterms:modified>
</cp:coreProperties>
</file>